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B413" w14:textId="4C9296E4" w:rsidR="00FE067E" w:rsidRDefault="00ED4718" w:rsidP="00CC1F3B">
      <w:pPr>
        <w:pStyle w:val="TitlePageOrigin"/>
      </w:pPr>
      <w:r>
        <w:rPr>
          <w:caps w:val="0"/>
        </w:rPr>
        <w:t xml:space="preserve"> </w:t>
      </w:r>
      <w:r w:rsidR="003C6034">
        <w:rPr>
          <w:caps w:val="0"/>
        </w:rPr>
        <w:t>WEST VIRGINIA LEGISLATURE</w:t>
      </w:r>
    </w:p>
    <w:p w14:paraId="226B15D8" w14:textId="3336A3D0" w:rsidR="00CD36CF" w:rsidRDefault="00CD36CF" w:rsidP="00CC1F3B">
      <w:pPr>
        <w:pStyle w:val="TitlePageSession"/>
      </w:pPr>
      <w:r>
        <w:t>20</w:t>
      </w:r>
      <w:r w:rsidR="00EC5E63">
        <w:t>2</w:t>
      </w:r>
      <w:r w:rsidR="008E6644">
        <w:t>6</w:t>
      </w:r>
      <w:r>
        <w:t xml:space="preserve"> </w:t>
      </w:r>
      <w:r w:rsidR="003C6034">
        <w:rPr>
          <w:caps w:val="0"/>
        </w:rPr>
        <w:t>REGULAR SESSION</w:t>
      </w:r>
      <w:r w:rsidR="00AF6D38">
        <w:rPr>
          <w:noProof/>
        </w:rPr>
        <mc:AlternateContent>
          <mc:Choice Requires="wps">
            <w:drawing>
              <wp:anchor distT="0" distB="0" distL="114300" distR="114300" simplePos="0" relativeHeight="251659264" behindDoc="0" locked="0" layoutInCell="1" allowOverlap="1" wp14:anchorId="523726BF" wp14:editId="4EC653A3">
                <wp:simplePos x="0" y="0"/>
                <wp:positionH relativeFrom="column">
                  <wp:posOffset>6007100</wp:posOffset>
                </wp:positionH>
                <wp:positionV relativeFrom="paragraph">
                  <wp:posOffset>1617980</wp:posOffset>
                </wp:positionV>
                <wp:extent cx="635000" cy="476250"/>
                <wp:effectExtent l="0" t="0" r="12700" b="19050"/>
                <wp:wrapNone/>
                <wp:docPr id="20846291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586EE25" w14:textId="05C0D451" w:rsidR="00AF6D38" w:rsidRPr="00AF6D38" w:rsidRDefault="00AF6D38" w:rsidP="00AF6D38">
                            <w:pPr>
                              <w:spacing w:line="240" w:lineRule="auto"/>
                              <w:jc w:val="center"/>
                              <w:rPr>
                                <w:rFonts w:cs="Arial"/>
                                <w:b/>
                              </w:rPr>
                            </w:pPr>
                            <w:r w:rsidRPr="00AF6D3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3726B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586EE25" w14:textId="05C0D451" w:rsidR="00AF6D38" w:rsidRPr="00AF6D38" w:rsidRDefault="00AF6D38" w:rsidP="00AF6D38">
                      <w:pPr>
                        <w:spacing w:line="240" w:lineRule="auto"/>
                        <w:jc w:val="center"/>
                        <w:rPr>
                          <w:rFonts w:cs="Arial"/>
                          <w:b/>
                        </w:rPr>
                      </w:pPr>
                      <w:r w:rsidRPr="00AF6D38">
                        <w:rPr>
                          <w:rFonts w:cs="Arial"/>
                          <w:b/>
                        </w:rPr>
                        <w:t>FISCAL NOTE</w:t>
                      </w:r>
                    </w:p>
                  </w:txbxContent>
                </v:textbox>
              </v:shape>
            </w:pict>
          </mc:Fallback>
        </mc:AlternateContent>
      </w:r>
    </w:p>
    <w:p w14:paraId="0131CA40" w14:textId="77777777" w:rsidR="00CD36CF" w:rsidRDefault="00C51323" w:rsidP="00CC1F3B">
      <w:pPr>
        <w:pStyle w:val="TitlePageBillPrefix"/>
      </w:pPr>
      <w:sdt>
        <w:sdtPr>
          <w:tag w:val="IntroDate"/>
          <w:id w:val="-1236936958"/>
          <w:placeholder>
            <w:docPart w:val="4E819905AF4143E082186701083FF06B"/>
          </w:placeholder>
          <w:text/>
        </w:sdtPr>
        <w:sdtEndPr/>
        <w:sdtContent>
          <w:r w:rsidR="00AE48A0">
            <w:t>Introduced</w:t>
          </w:r>
        </w:sdtContent>
      </w:sdt>
    </w:p>
    <w:p w14:paraId="6E28B75D" w14:textId="09D9CFCD" w:rsidR="00CD36CF" w:rsidRDefault="00C51323" w:rsidP="00CC1F3B">
      <w:pPr>
        <w:pStyle w:val="BillNumber"/>
      </w:pPr>
      <w:sdt>
        <w:sdtPr>
          <w:tag w:val="Chamber"/>
          <w:id w:val="893011969"/>
          <w:lock w:val="sdtLocked"/>
          <w:placeholder>
            <w:docPart w:val="17700AA27FE64D3EBC07B8B88F36CB7F"/>
          </w:placeholder>
          <w:dropDownList>
            <w:listItem w:displayText="House" w:value="House"/>
            <w:listItem w:displayText="Senate" w:value="Senate"/>
          </w:dropDownList>
        </w:sdtPr>
        <w:sdtEndPr/>
        <w:sdtContent>
          <w:r w:rsidR="0044238F">
            <w:t>Senate</w:t>
          </w:r>
        </w:sdtContent>
      </w:sdt>
      <w:r w:rsidR="00303684">
        <w:t xml:space="preserve"> </w:t>
      </w:r>
      <w:r w:rsidR="00CD36CF">
        <w:t xml:space="preserve">Bill </w:t>
      </w:r>
      <w:sdt>
        <w:sdtPr>
          <w:tag w:val="BNum"/>
          <w:id w:val="1645317809"/>
          <w:lock w:val="sdtLocked"/>
          <w:placeholder>
            <w:docPart w:val="62F00C5F641F4DDBBBD24521EFC0155C"/>
          </w:placeholder>
          <w:text/>
        </w:sdtPr>
        <w:sdtEndPr/>
        <w:sdtContent>
          <w:r w:rsidR="00EA162A">
            <w:t>414</w:t>
          </w:r>
        </w:sdtContent>
      </w:sdt>
    </w:p>
    <w:p w14:paraId="2B0F5AE1" w14:textId="1D080233" w:rsidR="00CD36CF" w:rsidRDefault="00CD36CF" w:rsidP="00CC1F3B">
      <w:pPr>
        <w:pStyle w:val="Sponsors"/>
      </w:pPr>
      <w:r>
        <w:t xml:space="preserve">By </w:t>
      </w:r>
      <w:sdt>
        <w:sdtPr>
          <w:tag w:val="Sponsors"/>
          <w:id w:val="1589585889"/>
          <w:placeholder>
            <w:docPart w:val="0B74BFD427074BA48FD082BF429681C8"/>
          </w:placeholder>
          <w:text w:multiLine="1"/>
        </w:sdtPr>
        <w:sdtEndPr/>
        <w:sdtContent>
          <w:r w:rsidR="0044238F">
            <w:t>Senator Rucker</w:t>
          </w:r>
        </w:sdtContent>
      </w:sdt>
    </w:p>
    <w:p w14:paraId="071E44EE" w14:textId="487CD9AD" w:rsidR="00E831B3" w:rsidRDefault="00CD36CF" w:rsidP="00CC1F3B">
      <w:pPr>
        <w:pStyle w:val="References"/>
      </w:pPr>
      <w:r>
        <w:t>[</w:t>
      </w:r>
      <w:sdt>
        <w:sdtPr>
          <w:tag w:val="References"/>
          <w:id w:val="-1043047873"/>
          <w:placeholder>
            <w:docPart w:val="63EA61BE4F7B41BDA2A373C8E4E6D9A9"/>
          </w:placeholder>
          <w:text w:multiLine="1"/>
        </w:sdtPr>
        <w:sdtEndPr/>
        <w:sdtContent>
          <w:r w:rsidR="00093AB0">
            <w:t xml:space="preserve">Introduced </w:t>
          </w:r>
          <w:r w:rsidR="00EA162A">
            <w:t>January 15, 2026</w:t>
          </w:r>
          <w:r w:rsidR="00093AB0">
            <w:t xml:space="preserve">; </w:t>
          </w:r>
          <w:r w:rsidR="007438DE">
            <w:t>r</w:t>
          </w:r>
          <w:r w:rsidR="00093AB0">
            <w:t>eferred</w:t>
          </w:r>
          <w:r w:rsidR="00093AB0">
            <w:br/>
            <w:t xml:space="preserve">to the Committee on </w:t>
          </w:r>
          <w:r w:rsidR="00C51323">
            <w:t>Education; and then to the Committee on Finance</w:t>
          </w:r>
        </w:sdtContent>
      </w:sdt>
      <w:r>
        <w:t>]</w:t>
      </w:r>
    </w:p>
    <w:p w14:paraId="2F47141C" w14:textId="57147461" w:rsidR="00303684" w:rsidRDefault="0000526A" w:rsidP="00CC1F3B">
      <w:pPr>
        <w:pStyle w:val="TitleSection"/>
      </w:pPr>
      <w:r>
        <w:lastRenderedPageBreak/>
        <w:t>A BILL</w:t>
      </w:r>
      <w:r w:rsidR="00AC7A66">
        <w:t xml:space="preserve"> to amend the Code of West Virginia, 1931, as amended,</w:t>
      </w:r>
      <w:r w:rsidR="0044238F">
        <w:t xml:space="preserve"> by adding a new article, designated </w:t>
      </w:r>
      <w:r w:rsidR="0044238F">
        <w:rPr>
          <w:rFonts w:cs="Arial"/>
        </w:rPr>
        <w:t>§</w:t>
      </w:r>
      <w:r w:rsidR="0044238F">
        <w:t xml:space="preserve">18B-23-1, </w:t>
      </w:r>
      <w:r w:rsidR="0044238F">
        <w:rPr>
          <w:rFonts w:cs="Arial"/>
        </w:rPr>
        <w:t>§</w:t>
      </w:r>
      <w:r w:rsidR="0044238F">
        <w:t xml:space="preserve">18B-23-2, </w:t>
      </w:r>
      <w:r w:rsidR="0044238F">
        <w:rPr>
          <w:rFonts w:cs="Arial"/>
        </w:rPr>
        <w:t>§</w:t>
      </w:r>
      <w:r w:rsidR="0044238F">
        <w:t xml:space="preserve">18B-23-3, and </w:t>
      </w:r>
      <w:r w:rsidR="0044238F">
        <w:rPr>
          <w:rFonts w:cs="Arial"/>
        </w:rPr>
        <w:t>§</w:t>
      </w:r>
      <w:r w:rsidR="0044238F">
        <w:t>18B-23-4,</w:t>
      </w:r>
      <w:r w:rsidR="0044238F" w:rsidRPr="00286D0A">
        <w:rPr>
          <w:color w:val="auto"/>
        </w:rPr>
        <w:t xml:space="preserve"> </w:t>
      </w:r>
      <w:r w:rsidR="00AC7A66" w:rsidRPr="009604FD">
        <w:t>relating to</w:t>
      </w:r>
      <w:r w:rsidR="0044238F">
        <w:t xml:space="preserve"> the creation of the Keep Accreditation About Academics Act; providing for legislative findings; creating definitions; creating prohibitions; and providing for enforcement</w:t>
      </w:r>
      <w:r w:rsidR="00AC7A66">
        <w:t>.</w:t>
      </w:r>
    </w:p>
    <w:p w14:paraId="7CE9D123" w14:textId="222D143A" w:rsidR="003C6034" w:rsidRDefault="00303684" w:rsidP="00CC1F3B">
      <w:pPr>
        <w:pStyle w:val="EnactingClause"/>
        <w:sectPr w:rsidR="003C6034" w:rsidSect="00AC7A6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C690B00" w14:textId="7989DD1F" w:rsidR="00AC7A66" w:rsidRPr="0044238F" w:rsidRDefault="00AC7A66" w:rsidP="0044238F">
      <w:pPr>
        <w:pStyle w:val="ArticleHeading"/>
        <w:rPr>
          <w:u w:val="single"/>
        </w:rPr>
        <w:sectPr w:rsidR="00AC7A66" w:rsidRPr="0044238F" w:rsidSect="00AC7A66">
          <w:type w:val="continuous"/>
          <w:pgSz w:w="12240" w:h="15840" w:code="1"/>
          <w:pgMar w:top="1440" w:right="1440" w:bottom="1440" w:left="1440" w:header="720" w:footer="720" w:gutter="0"/>
          <w:lnNumType w:countBy="1" w:restart="newSection"/>
          <w:cols w:space="720"/>
          <w:titlePg/>
          <w:docGrid w:linePitch="360"/>
        </w:sectPr>
      </w:pPr>
      <w:r w:rsidRPr="0044238F">
        <w:rPr>
          <w:u w:val="single"/>
        </w:rPr>
        <w:t xml:space="preserve">Article </w:t>
      </w:r>
      <w:r w:rsidR="0044238F" w:rsidRPr="0044238F">
        <w:rPr>
          <w:u w:val="single"/>
        </w:rPr>
        <w:t>23</w:t>
      </w:r>
      <w:r w:rsidRPr="0044238F">
        <w:rPr>
          <w:u w:val="single"/>
        </w:rPr>
        <w:t xml:space="preserve">. </w:t>
      </w:r>
      <w:r w:rsidR="0044238F" w:rsidRPr="0044238F">
        <w:rPr>
          <w:bCs/>
          <w:u w:val="single"/>
        </w:rPr>
        <w:t>Keep Accreditation About Academics Act</w:t>
      </w:r>
      <w:r w:rsidRPr="0044238F">
        <w:rPr>
          <w:u w:val="single"/>
        </w:rPr>
        <w:t>.</w:t>
      </w:r>
    </w:p>
    <w:p w14:paraId="6EC7E712" w14:textId="5CA20BC7" w:rsidR="00AC7A66" w:rsidRPr="0044238F" w:rsidRDefault="00AC7A66" w:rsidP="000119DE">
      <w:pPr>
        <w:pStyle w:val="SectionHeading"/>
        <w:rPr>
          <w:u w:val="single"/>
        </w:rPr>
      </w:pPr>
      <w:r w:rsidRPr="0044238F">
        <w:rPr>
          <w:u w:val="single"/>
        </w:rPr>
        <w:t>§</w:t>
      </w:r>
      <w:r w:rsidR="0044238F" w:rsidRPr="0044238F">
        <w:rPr>
          <w:u w:val="single"/>
        </w:rPr>
        <w:t>18B-23-1</w:t>
      </w:r>
      <w:r w:rsidRPr="0044238F">
        <w:rPr>
          <w:u w:val="single"/>
        </w:rPr>
        <w:t xml:space="preserve">. </w:t>
      </w:r>
      <w:r w:rsidR="0044238F" w:rsidRPr="0044238F">
        <w:rPr>
          <w:u w:val="single"/>
        </w:rPr>
        <w:t>Legislative findings.</w:t>
      </w:r>
    </w:p>
    <w:p w14:paraId="2F2E1F2C" w14:textId="47776CC6" w:rsidR="0044238F" w:rsidRPr="0044238F" w:rsidRDefault="0044238F" w:rsidP="0044238F">
      <w:pPr>
        <w:pStyle w:val="SectionBody"/>
        <w:rPr>
          <w:u w:val="single"/>
        </w:rPr>
      </w:pPr>
      <w:r>
        <w:rPr>
          <w:u w:val="single"/>
        </w:rPr>
        <w:t>The Legislature finds that a</w:t>
      </w:r>
      <w:r w:rsidRPr="0044238F">
        <w:rPr>
          <w:u w:val="single"/>
        </w:rPr>
        <w:t>ccrediting agencies are increasingly calling for colleges and universities to incorporate diversity, equity, and inclusion ("DEI") initiatives into their programs.  In their effort to become or remain accredited, colleges and universities have deployed various DEI initiatives, such as "racial bias" trainings, that often push school employees and students to treat people differently, or assign blame to people, based on the color of their skin or other characteristics. Accrediting agencies should be focused on academics, not enforcing their views on DEI.</w:t>
      </w:r>
    </w:p>
    <w:p w14:paraId="54B9C970" w14:textId="6483AB35" w:rsidR="0044238F" w:rsidRPr="0044238F" w:rsidRDefault="0044238F" w:rsidP="0044238F">
      <w:pPr>
        <w:pStyle w:val="SectionHeading"/>
        <w:rPr>
          <w:u w:val="single"/>
        </w:rPr>
        <w:sectPr w:rsidR="0044238F" w:rsidRPr="0044238F" w:rsidSect="00AC7A66">
          <w:type w:val="continuous"/>
          <w:pgSz w:w="12240" w:h="15840" w:code="1"/>
          <w:pgMar w:top="1440" w:right="1440" w:bottom="1440" w:left="1440" w:header="720" w:footer="720" w:gutter="0"/>
          <w:lnNumType w:countBy="1" w:restart="newSection"/>
          <w:cols w:space="720"/>
          <w:titlePg/>
          <w:docGrid w:linePitch="360"/>
        </w:sectPr>
      </w:pPr>
      <w:r w:rsidRPr="0044238F">
        <w:rPr>
          <w:u w:val="single"/>
        </w:rPr>
        <w:t xml:space="preserve">§18B-23-2. </w:t>
      </w:r>
      <w:r>
        <w:rPr>
          <w:u w:val="single"/>
        </w:rPr>
        <w:t>Definitions</w:t>
      </w:r>
      <w:r w:rsidRPr="0044238F">
        <w:rPr>
          <w:u w:val="single"/>
        </w:rPr>
        <w:t>.</w:t>
      </w:r>
    </w:p>
    <w:p w14:paraId="66A9C612" w14:textId="77777777" w:rsidR="0044238F" w:rsidRPr="00286D0A" w:rsidRDefault="0044238F" w:rsidP="0044238F">
      <w:pPr>
        <w:pStyle w:val="SectionBody"/>
        <w:rPr>
          <w:color w:val="auto"/>
          <w:u w:val="single"/>
        </w:rPr>
      </w:pPr>
      <w:r w:rsidRPr="00286D0A">
        <w:rPr>
          <w:color w:val="auto"/>
          <w:u w:val="single"/>
        </w:rPr>
        <w:t xml:space="preserve">(a) "Accreditation" means the status of public recognition that an accrediting agency grants to an educational institution, program, or both that meets the agency’s standards and requirements. </w:t>
      </w:r>
    </w:p>
    <w:p w14:paraId="3410B022" w14:textId="77777777" w:rsidR="0044238F" w:rsidRPr="00286D0A" w:rsidRDefault="0044238F" w:rsidP="0044238F">
      <w:pPr>
        <w:pStyle w:val="SectionBody"/>
        <w:rPr>
          <w:color w:val="auto"/>
          <w:u w:val="single"/>
        </w:rPr>
      </w:pPr>
      <w:r w:rsidRPr="00286D0A">
        <w:rPr>
          <w:color w:val="auto"/>
          <w:u w:val="single"/>
        </w:rPr>
        <w:t xml:space="preserve">(b) "Accrediting agency" means a person or governmental entity that conducts accrediting activities and makes decisions concerning the accreditation or pre-accreditation status of institutions, programs, or both. It includes any national, regional, or programmatic accrediting agency. </w:t>
      </w:r>
    </w:p>
    <w:p w14:paraId="11583961" w14:textId="77777777" w:rsidR="0044238F" w:rsidRPr="00286D0A" w:rsidRDefault="0044238F" w:rsidP="0044238F">
      <w:pPr>
        <w:pStyle w:val="SectionBody"/>
        <w:rPr>
          <w:color w:val="auto"/>
          <w:u w:val="single"/>
        </w:rPr>
      </w:pPr>
      <w:r w:rsidRPr="00286D0A">
        <w:rPr>
          <w:color w:val="auto"/>
          <w:u w:val="single"/>
        </w:rPr>
        <w:t xml:space="preserve">(c) "Diversity, equity, and inclusion" means any differential treatment of, or assignment of any fault or blame to, an individual or group at an institution of higher education based on race, color, ethnicity, national origin (other than as it relates to immigration status under United States law), sex (other than related to sex-segregated facilities, such as dormitories and bathrooms, or </w:t>
      </w:r>
      <w:r w:rsidRPr="00286D0A">
        <w:rPr>
          <w:color w:val="auto"/>
          <w:u w:val="single"/>
        </w:rPr>
        <w:lastRenderedPageBreak/>
        <w:t xml:space="preserve">athletic programs), sexual orientation, or gender identity. </w:t>
      </w:r>
    </w:p>
    <w:p w14:paraId="3A9E32E0" w14:textId="77777777" w:rsidR="0044238F" w:rsidRPr="00286D0A" w:rsidRDefault="0044238F" w:rsidP="0044238F">
      <w:pPr>
        <w:pStyle w:val="SectionBody"/>
        <w:rPr>
          <w:color w:val="auto"/>
          <w:u w:val="single"/>
        </w:rPr>
      </w:pPr>
      <w:r w:rsidRPr="00286D0A">
        <w:rPr>
          <w:color w:val="auto"/>
          <w:u w:val="single"/>
        </w:rPr>
        <w:t xml:space="preserve">(d) "Diversity, equity, and inclusion practice or procedure" means any initiative, policy, program, mandate, requirement, standard, metric, statistic, or other practice or procedure related to diversity, equity, and inclusion. </w:t>
      </w:r>
    </w:p>
    <w:p w14:paraId="7B006281" w14:textId="7E9AF871" w:rsidR="0044238F" w:rsidRPr="0044238F" w:rsidRDefault="0044238F" w:rsidP="0044238F">
      <w:pPr>
        <w:pStyle w:val="SectionBody"/>
        <w:rPr>
          <w:u w:val="single"/>
        </w:rPr>
      </w:pPr>
      <w:r w:rsidRPr="00286D0A">
        <w:rPr>
          <w:color w:val="auto"/>
          <w:u w:val="single"/>
        </w:rPr>
        <w:t xml:space="preserve">(e) "Institution of </w:t>
      </w:r>
      <w:r w:rsidRPr="0044238F">
        <w:rPr>
          <w:u w:val="single"/>
        </w:rPr>
        <w:t>higher education" means a public postsecondary educational institution in this state, including all of the institution’s programs, departments, divisions, offices, centers, colleges, and schools and any person acting on behalf of any of the foregoing.</w:t>
      </w:r>
    </w:p>
    <w:p w14:paraId="32658C1D" w14:textId="61E55A67" w:rsidR="0044238F" w:rsidRPr="0044238F" w:rsidRDefault="0044238F" w:rsidP="0044238F">
      <w:pPr>
        <w:pStyle w:val="SectionHeading"/>
        <w:rPr>
          <w:u w:val="single"/>
        </w:rPr>
        <w:sectPr w:rsidR="0044238F" w:rsidRPr="0044238F" w:rsidSect="0044238F">
          <w:type w:val="continuous"/>
          <w:pgSz w:w="12240" w:h="15840" w:code="1"/>
          <w:pgMar w:top="1440" w:right="1440" w:bottom="1440" w:left="1440" w:header="720" w:footer="720" w:gutter="0"/>
          <w:lnNumType w:countBy="1" w:restart="newSection"/>
          <w:cols w:space="720"/>
          <w:titlePg/>
          <w:docGrid w:linePitch="360"/>
        </w:sectPr>
      </w:pPr>
      <w:r w:rsidRPr="0044238F">
        <w:rPr>
          <w:u w:val="single"/>
        </w:rPr>
        <w:t>§18B-23-3. Prohibition.</w:t>
      </w:r>
    </w:p>
    <w:p w14:paraId="05D978FB" w14:textId="77777777" w:rsidR="0044238F" w:rsidRPr="0044238F" w:rsidRDefault="0044238F" w:rsidP="0044238F">
      <w:pPr>
        <w:pStyle w:val="SectionBody"/>
        <w:rPr>
          <w:u w:val="single"/>
        </w:rPr>
      </w:pPr>
      <w:r w:rsidRPr="0044238F">
        <w:rPr>
          <w:u w:val="single"/>
        </w:rPr>
        <w:t xml:space="preserve">(a) When taking any action on the accreditation or renewal of accreditation of an institution of higher education, an accrediting agency shall not: </w:t>
      </w:r>
    </w:p>
    <w:p w14:paraId="6AA63388" w14:textId="77777777" w:rsidR="0044238F" w:rsidRPr="0044238F" w:rsidRDefault="0044238F" w:rsidP="0044238F">
      <w:pPr>
        <w:pStyle w:val="SectionBody"/>
        <w:rPr>
          <w:u w:val="single"/>
        </w:rPr>
      </w:pPr>
      <w:r w:rsidRPr="0044238F">
        <w:rPr>
          <w:u w:val="single"/>
        </w:rPr>
        <w:t>(1) Base its accrediting decision in any way on a review or consideration of any diversity, equity, and inclusion practice or procedure;</w:t>
      </w:r>
    </w:p>
    <w:p w14:paraId="32ECBA7D" w14:textId="77777777" w:rsidR="0044238F" w:rsidRPr="0044238F" w:rsidRDefault="0044238F" w:rsidP="0044238F">
      <w:pPr>
        <w:pStyle w:val="SectionBody"/>
        <w:rPr>
          <w:u w:val="single"/>
        </w:rPr>
      </w:pPr>
      <w:r w:rsidRPr="0044238F">
        <w:rPr>
          <w:u w:val="single"/>
        </w:rPr>
        <w:t xml:space="preserve">(2) Collect information related to any diversity, equity, and inclusion practice or procedure; or </w:t>
      </w:r>
    </w:p>
    <w:p w14:paraId="595CDE86" w14:textId="77777777" w:rsidR="0044238F" w:rsidRPr="0044238F" w:rsidRDefault="0044238F" w:rsidP="0044238F">
      <w:pPr>
        <w:pStyle w:val="SectionBody"/>
        <w:rPr>
          <w:u w:val="single"/>
        </w:rPr>
      </w:pPr>
      <w:r w:rsidRPr="0044238F">
        <w:rPr>
          <w:u w:val="single"/>
        </w:rPr>
        <w:t xml:space="preserve">(3) Include any requirement related to any diversity, equity, and inclusion practice or procedure.  </w:t>
      </w:r>
    </w:p>
    <w:p w14:paraId="70F5F05F" w14:textId="7346EE2F" w:rsidR="0044238F" w:rsidRPr="0044238F" w:rsidRDefault="0044238F" w:rsidP="0044238F">
      <w:pPr>
        <w:pStyle w:val="SectionBody"/>
        <w:rPr>
          <w:u w:val="single"/>
        </w:rPr>
      </w:pPr>
      <w:r w:rsidRPr="0044238F">
        <w:rPr>
          <w:u w:val="single"/>
        </w:rPr>
        <w:t>(b) Pursuant to subsection (a), an accrediting agency considering the accreditation or renewal of accreditation of an institution of higher education must implement policies to ensure that any person with any decision-making or recommendation authority related to that accreditation or renewal of accreditation does not collect and is not presented with any information regarding any diversity, equity, and inclusion practice or procedure.</w:t>
      </w:r>
    </w:p>
    <w:p w14:paraId="0E5C010D" w14:textId="61C55363" w:rsidR="0044238F" w:rsidRPr="0044238F" w:rsidRDefault="0044238F" w:rsidP="0044238F">
      <w:pPr>
        <w:pStyle w:val="SectionHeading"/>
        <w:rPr>
          <w:u w:val="single"/>
        </w:rPr>
        <w:sectPr w:rsidR="0044238F" w:rsidRPr="0044238F" w:rsidSect="0044238F">
          <w:type w:val="continuous"/>
          <w:pgSz w:w="12240" w:h="15840" w:code="1"/>
          <w:pgMar w:top="1440" w:right="1440" w:bottom="1440" w:left="1440" w:header="720" w:footer="720" w:gutter="0"/>
          <w:lnNumType w:countBy="1" w:restart="newSection"/>
          <w:cols w:space="720"/>
          <w:titlePg/>
          <w:docGrid w:linePitch="360"/>
        </w:sectPr>
      </w:pPr>
      <w:r w:rsidRPr="0044238F">
        <w:rPr>
          <w:u w:val="single"/>
        </w:rPr>
        <w:t>§18B-23-4. Enforcement.</w:t>
      </w:r>
    </w:p>
    <w:p w14:paraId="35A4E0D0" w14:textId="77777777" w:rsidR="0044238F" w:rsidRPr="0044238F" w:rsidRDefault="0044238F" w:rsidP="0044238F">
      <w:pPr>
        <w:pStyle w:val="SectionBody"/>
        <w:rPr>
          <w:u w:val="single"/>
        </w:rPr>
      </w:pPr>
      <w:r w:rsidRPr="0044238F">
        <w:rPr>
          <w:u w:val="single"/>
        </w:rPr>
        <w:t xml:space="preserve">(a) Section three of this article may be enforced through a civil action brought against an accrediting agency by any person who was or is a student of an institution of higher education, or was or is employed by an institution of higher education. </w:t>
      </w:r>
    </w:p>
    <w:p w14:paraId="60F50DA8" w14:textId="279822C0" w:rsidR="0044238F" w:rsidRPr="0044238F" w:rsidRDefault="0044238F" w:rsidP="0044238F">
      <w:pPr>
        <w:pStyle w:val="SectionBody"/>
        <w:rPr>
          <w:u w:val="single"/>
        </w:rPr>
      </w:pPr>
      <w:r w:rsidRPr="0044238F">
        <w:rPr>
          <w:u w:val="single"/>
        </w:rPr>
        <w:t xml:space="preserve">(b) Section three of this article also may be enforced against an accrediting agency by the </w:t>
      </w:r>
      <w:r w:rsidRPr="0044238F">
        <w:rPr>
          <w:u w:val="single"/>
        </w:rPr>
        <w:lastRenderedPageBreak/>
        <w:t xml:space="preserve">attorney general.  Any violation of </w:t>
      </w:r>
      <w:bookmarkStart w:id="0" w:name="_Hlk218093252"/>
      <w:bookmarkStart w:id="1" w:name="_Hlk218093260"/>
      <w:r w:rsidR="00634EC4">
        <w:rPr>
          <w:rFonts w:cs="Arial"/>
          <w:u w:val="single"/>
        </w:rPr>
        <w:t>§</w:t>
      </w:r>
      <w:r w:rsidR="00634EC4">
        <w:rPr>
          <w:u w:val="single"/>
        </w:rPr>
        <w:t>18B-23-3</w:t>
      </w:r>
      <w:bookmarkEnd w:id="0"/>
      <w:r w:rsidR="00634EC4">
        <w:rPr>
          <w:u w:val="single"/>
        </w:rPr>
        <w:t xml:space="preserve"> </w:t>
      </w:r>
      <w:r w:rsidRPr="0044238F">
        <w:rPr>
          <w:u w:val="single"/>
        </w:rPr>
        <w:t xml:space="preserve">of this </w:t>
      </w:r>
      <w:r w:rsidR="00634EC4">
        <w:rPr>
          <w:u w:val="single"/>
        </w:rPr>
        <w:t>cod</w:t>
      </w:r>
      <w:r w:rsidRPr="0044238F">
        <w:rPr>
          <w:u w:val="single"/>
        </w:rPr>
        <w:t>e</w:t>
      </w:r>
      <w:bookmarkEnd w:id="1"/>
      <w:r w:rsidRPr="0044238F">
        <w:rPr>
          <w:u w:val="single"/>
        </w:rPr>
        <w:t xml:space="preserve"> shall constitute a violation of West Virginia civil rights law, and the Attorney General may investigate and seek remedies as provided in that law.  Any violation of</w:t>
      </w:r>
      <w:r w:rsidR="00634EC4">
        <w:rPr>
          <w:rFonts w:cs="Arial"/>
          <w:u w:val="single"/>
        </w:rPr>
        <w:t>§</w:t>
      </w:r>
      <w:r w:rsidR="00634EC4">
        <w:rPr>
          <w:u w:val="single"/>
        </w:rPr>
        <w:t xml:space="preserve">18B-23-3 </w:t>
      </w:r>
      <w:r w:rsidR="00634EC4" w:rsidRPr="0044238F">
        <w:rPr>
          <w:u w:val="single"/>
        </w:rPr>
        <w:t xml:space="preserve">of this </w:t>
      </w:r>
      <w:r w:rsidR="00634EC4">
        <w:rPr>
          <w:u w:val="single"/>
        </w:rPr>
        <w:t>cod</w:t>
      </w:r>
      <w:r w:rsidR="00634EC4" w:rsidRPr="0044238F">
        <w:rPr>
          <w:u w:val="single"/>
        </w:rPr>
        <w:t>e</w:t>
      </w:r>
      <w:r w:rsidRPr="0044238F">
        <w:rPr>
          <w:u w:val="single"/>
        </w:rPr>
        <w:t xml:space="preserve"> also shall constitute an unfair act in violation of West Virginia law, and the Attorney General may investigate and seek remedies as provided in that law.</w:t>
      </w:r>
    </w:p>
    <w:p w14:paraId="25B4A2BB" w14:textId="3AD91791" w:rsidR="0044238F" w:rsidRPr="0044238F" w:rsidRDefault="0044238F" w:rsidP="0044238F">
      <w:pPr>
        <w:pStyle w:val="SectionBody"/>
        <w:rPr>
          <w:u w:val="single"/>
        </w:rPr>
      </w:pPr>
      <w:r w:rsidRPr="0044238F">
        <w:rPr>
          <w:u w:val="single"/>
        </w:rPr>
        <w:t xml:space="preserve">(c) In addition to any other remedies available at law or equity, an accrediting agency that violates </w:t>
      </w:r>
      <w:r w:rsidR="00634EC4">
        <w:rPr>
          <w:rFonts w:cs="Arial"/>
          <w:u w:val="single"/>
        </w:rPr>
        <w:t>§</w:t>
      </w:r>
      <w:r w:rsidR="00634EC4">
        <w:rPr>
          <w:u w:val="single"/>
        </w:rPr>
        <w:t xml:space="preserve">18B-23-3 </w:t>
      </w:r>
      <w:r w:rsidR="00634EC4" w:rsidRPr="0044238F">
        <w:rPr>
          <w:u w:val="single"/>
        </w:rPr>
        <w:t xml:space="preserve">of this </w:t>
      </w:r>
      <w:r w:rsidR="00634EC4">
        <w:rPr>
          <w:u w:val="single"/>
        </w:rPr>
        <w:t>cod</w:t>
      </w:r>
      <w:r w:rsidR="00634EC4" w:rsidRPr="0044238F">
        <w:rPr>
          <w:u w:val="single"/>
        </w:rPr>
        <w:t>e</w:t>
      </w:r>
      <w:r w:rsidRPr="0044238F">
        <w:rPr>
          <w:u w:val="single"/>
        </w:rPr>
        <w:t xml:space="preserve"> shall be obligated to pay the reasonable attorneys’ fees and costs of the party bringing the lawsuit and to pay damages to the party bringing the lawsuit in an amount equal to three times all monies paid to the accrediting agency by the institution of higher education for the accrediting agency’s services, whether dues, fees, or otherwise. </w:t>
      </w:r>
    </w:p>
    <w:p w14:paraId="7A290210" w14:textId="24858A84" w:rsidR="0044238F" w:rsidRPr="0044238F" w:rsidRDefault="0044238F" w:rsidP="0044238F">
      <w:pPr>
        <w:pStyle w:val="SectionBody"/>
        <w:rPr>
          <w:u w:val="single"/>
        </w:rPr>
      </w:pPr>
      <w:r w:rsidRPr="0044238F">
        <w:rPr>
          <w:u w:val="single"/>
        </w:rPr>
        <w:t xml:space="preserve">(d) In addition to any other remedies available at law or equity, an accrediting agency that violates </w:t>
      </w:r>
      <w:r w:rsidR="00634EC4">
        <w:rPr>
          <w:rFonts w:cs="Arial"/>
          <w:u w:val="single"/>
        </w:rPr>
        <w:t>§</w:t>
      </w:r>
      <w:r w:rsidR="00634EC4">
        <w:rPr>
          <w:u w:val="single"/>
        </w:rPr>
        <w:t xml:space="preserve">18B-23-3 </w:t>
      </w:r>
      <w:r w:rsidR="00634EC4" w:rsidRPr="0044238F">
        <w:rPr>
          <w:u w:val="single"/>
        </w:rPr>
        <w:t xml:space="preserve">of this </w:t>
      </w:r>
      <w:r w:rsidR="00634EC4">
        <w:rPr>
          <w:u w:val="single"/>
        </w:rPr>
        <w:t>cod</w:t>
      </w:r>
      <w:r w:rsidR="00634EC4" w:rsidRPr="0044238F">
        <w:rPr>
          <w:u w:val="single"/>
        </w:rPr>
        <w:t>e</w:t>
      </w:r>
      <w:r w:rsidRPr="0044238F">
        <w:rPr>
          <w:u w:val="single"/>
        </w:rPr>
        <w:t xml:space="preserve"> shall be liable to pay civil penalties to the party bringing the lawsuit in an amount up to $1,000 per student that attended the institution of higher education at the time the accrediting agency violated </w:t>
      </w:r>
      <w:r w:rsidR="00634EC4">
        <w:rPr>
          <w:rFonts w:cs="Arial"/>
          <w:u w:val="single"/>
        </w:rPr>
        <w:t>§</w:t>
      </w:r>
      <w:r w:rsidR="00634EC4">
        <w:rPr>
          <w:u w:val="single"/>
        </w:rPr>
        <w:t xml:space="preserve">18B-23-3 </w:t>
      </w:r>
      <w:r w:rsidR="00634EC4" w:rsidRPr="0044238F">
        <w:rPr>
          <w:u w:val="single"/>
        </w:rPr>
        <w:t xml:space="preserve">of this </w:t>
      </w:r>
      <w:r w:rsidR="00634EC4">
        <w:rPr>
          <w:u w:val="single"/>
        </w:rPr>
        <w:t>cod</w:t>
      </w:r>
      <w:r w:rsidR="00634EC4" w:rsidRPr="0044238F">
        <w:rPr>
          <w:u w:val="single"/>
        </w:rPr>
        <w:t>e</w:t>
      </w:r>
      <w:r w:rsidRPr="0044238F">
        <w:rPr>
          <w:u w:val="single"/>
        </w:rPr>
        <w:t xml:space="preserve">. </w:t>
      </w:r>
    </w:p>
    <w:p w14:paraId="357A27AC" w14:textId="5E35C912" w:rsidR="0044238F" w:rsidRDefault="0044238F" w:rsidP="0044238F">
      <w:pPr>
        <w:pStyle w:val="SectionBody"/>
        <w:sectPr w:rsidR="0044238F" w:rsidSect="00AC7A66">
          <w:type w:val="continuous"/>
          <w:pgSz w:w="12240" w:h="15840" w:code="1"/>
          <w:pgMar w:top="1440" w:right="1440" w:bottom="1440" w:left="1440" w:header="720" w:footer="720" w:gutter="0"/>
          <w:lnNumType w:countBy="1" w:restart="newSection"/>
          <w:cols w:space="720"/>
          <w:titlePg/>
          <w:docGrid w:linePitch="360"/>
        </w:sectPr>
      </w:pPr>
    </w:p>
    <w:p w14:paraId="46081035" w14:textId="77777777" w:rsidR="00AC7A66" w:rsidRDefault="00AC7A66" w:rsidP="00AC7A66">
      <w:pPr>
        <w:pStyle w:val="SectionBody"/>
        <w:ind w:firstLine="0"/>
        <w:sectPr w:rsidR="00AC7A66" w:rsidSect="00AC7A66">
          <w:type w:val="continuous"/>
          <w:pgSz w:w="12240" w:h="15840" w:code="1"/>
          <w:pgMar w:top="1440" w:right="1440" w:bottom="1440" w:left="1440" w:header="720" w:footer="720" w:gutter="0"/>
          <w:lnNumType w:countBy="1" w:restart="newSection"/>
          <w:cols w:space="720"/>
          <w:titlePg/>
          <w:docGrid w:linePitch="360"/>
        </w:sectPr>
      </w:pPr>
    </w:p>
    <w:p w14:paraId="280C445A" w14:textId="2BFCBDEA" w:rsidR="006865E9" w:rsidRDefault="00CF1DCA" w:rsidP="00CC1F3B">
      <w:pPr>
        <w:pStyle w:val="Note"/>
      </w:pPr>
      <w:r>
        <w:t>NOTE: The</w:t>
      </w:r>
      <w:r w:rsidR="006865E9">
        <w:t xml:space="preserve"> purpose of this bill is to</w:t>
      </w:r>
      <w:r w:rsidR="0044238F">
        <w:t xml:space="preserve"> create the</w:t>
      </w:r>
      <w:r w:rsidR="0044238F" w:rsidRPr="0044238F">
        <w:t xml:space="preserve"> </w:t>
      </w:r>
      <w:r w:rsidR="0044238F">
        <w:t>Keep Accreditation About Academics Act</w:t>
      </w:r>
      <w:r w:rsidR="00AC7A66">
        <w:t>.</w:t>
      </w:r>
    </w:p>
    <w:p w14:paraId="79A6F70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C7A66">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C612" w14:textId="77777777" w:rsidR="00AC7A66" w:rsidRPr="00B844FE" w:rsidRDefault="00AC7A66" w:rsidP="00B844FE">
      <w:r>
        <w:separator/>
      </w:r>
    </w:p>
  </w:endnote>
  <w:endnote w:type="continuationSeparator" w:id="0">
    <w:p w14:paraId="5CB969BC" w14:textId="77777777" w:rsidR="00AC7A66" w:rsidRPr="00B844FE" w:rsidRDefault="00AC7A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8007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A1EB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C737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765872"/>
      <w:docPartObj>
        <w:docPartGallery w:val="Page Numbers (Bottom of Page)"/>
        <w:docPartUnique/>
      </w:docPartObj>
    </w:sdtPr>
    <w:sdtEndPr>
      <w:rPr>
        <w:noProof/>
      </w:rPr>
    </w:sdtEndPr>
    <w:sdtContent>
      <w:p w14:paraId="0D0BB766" w14:textId="0545E1F5" w:rsidR="002F0863" w:rsidRDefault="002F0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AE285" w14:textId="77777777" w:rsidR="002F0863" w:rsidRDefault="002F0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6C05" w14:textId="77777777" w:rsidR="00AC7A66" w:rsidRPr="00B844FE" w:rsidRDefault="00AC7A66" w:rsidP="00B844FE">
      <w:r>
        <w:separator/>
      </w:r>
    </w:p>
  </w:footnote>
  <w:footnote w:type="continuationSeparator" w:id="0">
    <w:p w14:paraId="35C31F64" w14:textId="77777777" w:rsidR="00AC7A66" w:rsidRPr="00B844FE" w:rsidRDefault="00AC7A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BAD4" w14:textId="77777777" w:rsidR="002A0269" w:rsidRPr="00B844FE" w:rsidRDefault="00C51323">
    <w:pPr>
      <w:pStyle w:val="Header"/>
    </w:pPr>
    <w:sdt>
      <w:sdtPr>
        <w:id w:val="-684364211"/>
        <w:placeholder>
          <w:docPart w:val="17700AA27FE64D3EBC07B8B88F36CB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700AA27FE64D3EBC07B8B88F36CB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3B87" w14:textId="704A26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4238F">
          <w:rPr>
            <w:sz w:val="22"/>
            <w:szCs w:val="22"/>
          </w:rPr>
          <w:t>S</w:t>
        </w:r>
        <w:r w:rsidR="00AC7A66">
          <w:rPr>
            <w:sz w:val="22"/>
            <w:szCs w:val="22"/>
          </w:rPr>
          <w:t>B</w:t>
        </w:r>
      </w:sdtContent>
    </w:sdt>
    <w:r w:rsidR="007A5259" w:rsidRPr="00686E9A">
      <w:rPr>
        <w:sz w:val="22"/>
        <w:szCs w:val="22"/>
      </w:rPr>
      <w:t xml:space="preserve"> </w:t>
    </w:r>
    <w:r w:rsidR="00EA162A">
      <w:rPr>
        <w:sz w:val="22"/>
        <w:szCs w:val="22"/>
      </w:rPr>
      <w:t>414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7A66">
          <w:rPr>
            <w:sz w:val="22"/>
            <w:szCs w:val="22"/>
          </w:rPr>
          <w:t>202</w:t>
        </w:r>
        <w:r w:rsidR="008E6644">
          <w:rPr>
            <w:sz w:val="22"/>
            <w:szCs w:val="22"/>
          </w:rPr>
          <w:t>6R1</w:t>
        </w:r>
        <w:r w:rsidR="0044238F">
          <w:rPr>
            <w:sz w:val="22"/>
            <w:szCs w:val="22"/>
          </w:rPr>
          <w:t>917</w:t>
        </w:r>
      </w:sdtContent>
    </w:sdt>
  </w:p>
  <w:p w14:paraId="68D25E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03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5CCC" w14:textId="1DF153CF" w:rsidR="002F0863" w:rsidRPr="00686E9A" w:rsidRDefault="002F0863" w:rsidP="002F0863">
    <w:pPr>
      <w:pStyle w:val="HeaderStyle"/>
      <w:rPr>
        <w:sz w:val="22"/>
        <w:szCs w:val="22"/>
      </w:rPr>
    </w:pPr>
    <w:r w:rsidRPr="00686E9A">
      <w:rPr>
        <w:sz w:val="22"/>
        <w:szCs w:val="22"/>
      </w:rPr>
      <w:t xml:space="preserve">Intr </w:t>
    </w:r>
    <w:sdt>
      <w:sdtPr>
        <w:rPr>
          <w:sz w:val="22"/>
          <w:szCs w:val="22"/>
        </w:rPr>
        <w:tag w:val="BNumWH"/>
        <w:id w:val="-142372384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30380011"/>
        <w:text/>
      </w:sdtPr>
      <w:sdtEndPr/>
      <w:sdtContent>
        <w:r>
          <w:rPr>
            <w:sz w:val="22"/>
            <w:szCs w:val="22"/>
          </w:rPr>
          <w:t>202</w:t>
        </w:r>
        <w:r w:rsidR="008E6644">
          <w:rPr>
            <w:sz w:val="22"/>
            <w:szCs w:val="22"/>
          </w:rPr>
          <w:t>6R1698</w:t>
        </w:r>
      </w:sdtContent>
    </w:sdt>
  </w:p>
  <w:p w14:paraId="13C040F2" w14:textId="77777777" w:rsidR="002F0863" w:rsidRPr="004D3ABE" w:rsidRDefault="002F086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556"/>
    <w:multiLevelType w:val="multilevel"/>
    <w:tmpl w:val="987AF1EE"/>
    <w:lvl w:ilvl="0">
      <w:start w:val="1"/>
      <w:numFmt w:val="upp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914805"/>
    <w:multiLevelType w:val="multilevel"/>
    <w:tmpl w:val="933AB142"/>
    <w:lvl w:ilvl="0">
      <w:start w:val="1"/>
      <w:numFmt w:val="upp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2722EC"/>
    <w:multiLevelType w:val="hybridMultilevel"/>
    <w:tmpl w:val="582E5C8C"/>
    <w:lvl w:ilvl="0" w:tplc="AB9CEA14">
      <w:start w:val="1"/>
      <w:numFmt w:val="upperLetter"/>
      <w:lvlText w:val="(%1)"/>
      <w:lvlJc w:val="left"/>
      <w:pPr>
        <w:ind w:left="720" w:hanging="360"/>
      </w:pPr>
    </w:lvl>
    <w:lvl w:ilvl="1" w:tplc="8B00E0A8">
      <w:start w:val="1"/>
      <w:numFmt w:val="decimal"/>
      <w:lvlText w:val="(%2)"/>
      <w:lvlJc w:val="left"/>
      <w:pPr>
        <w:ind w:left="1440" w:hanging="360"/>
      </w:pPr>
    </w:lvl>
    <w:lvl w:ilvl="2" w:tplc="CE3C6E70">
      <w:start w:val="1"/>
      <w:numFmt w:val="lowerRoman"/>
      <w:lvlText w:val="(%3)"/>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74AAFA48">
      <w:start w:val="1"/>
      <w:numFmt w:val="decimal"/>
      <w:lvlText w:val="%4."/>
      <w:lvlJc w:val="left"/>
      <w:pPr>
        <w:ind w:left="2880" w:hanging="360"/>
      </w:pPr>
    </w:lvl>
    <w:lvl w:ilvl="4" w:tplc="217CF8E8">
      <w:start w:val="1"/>
      <w:numFmt w:val="lowerLetter"/>
      <w:lvlText w:val="%5."/>
      <w:lvlJc w:val="left"/>
      <w:pPr>
        <w:ind w:left="3600" w:hanging="360"/>
      </w:pPr>
    </w:lvl>
    <w:lvl w:ilvl="5" w:tplc="64A8F670">
      <w:start w:val="1"/>
      <w:numFmt w:val="lowerRoman"/>
      <w:lvlText w:val="%6."/>
      <w:lvlJc w:val="right"/>
      <w:pPr>
        <w:ind w:left="4320" w:hanging="180"/>
      </w:pPr>
    </w:lvl>
    <w:lvl w:ilvl="6" w:tplc="C4F0B04C">
      <w:start w:val="1"/>
      <w:numFmt w:val="decimal"/>
      <w:lvlText w:val="%7."/>
      <w:lvlJc w:val="left"/>
      <w:pPr>
        <w:ind w:left="5040" w:hanging="360"/>
      </w:pPr>
    </w:lvl>
    <w:lvl w:ilvl="7" w:tplc="C0C02608">
      <w:start w:val="1"/>
      <w:numFmt w:val="lowerLetter"/>
      <w:lvlText w:val="%8."/>
      <w:lvlJc w:val="left"/>
      <w:pPr>
        <w:ind w:left="5760" w:hanging="360"/>
      </w:pPr>
    </w:lvl>
    <w:lvl w:ilvl="8" w:tplc="474A6440">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1766219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4202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91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66"/>
    <w:rsid w:val="0000526A"/>
    <w:rsid w:val="0001305B"/>
    <w:rsid w:val="000573A9"/>
    <w:rsid w:val="00085D22"/>
    <w:rsid w:val="00093AB0"/>
    <w:rsid w:val="00095370"/>
    <w:rsid w:val="000C5C77"/>
    <w:rsid w:val="000E3912"/>
    <w:rsid w:val="0010070F"/>
    <w:rsid w:val="00130814"/>
    <w:rsid w:val="0015112E"/>
    <w:rsid w:val="001552E7"/>
    <w:rsid w:val="001566B4"/>
    <w:rsid w:val="001633C9"/>
    <w:rsid w:val="001A66B7"/>
    <w:rsid w:val="001C279E"/>
    <w:rsid w:val="001D459E"/>
    <w:rsid w:val="00211F02"/>
    <w:rsid w:val="00220DFD"/>
    <w:rsid w:val="0022348D"/>
    <w:rsid w:val="00256481"/>
    <w:rsid w:val="00263607"/>
    <w:rsid w:val="0027011C"/>
    <w:rsid w:val="00274200"/>
    <w:rsid w:val="00275740"/>
    <w:rsid w:val="00286D0A"/>
    <w:rsid w:val="002A0269"/>
    <w:rsid w:val="002F0863"/>
    <w:rsid w:val="00303684"/>
    <w:rsid w:val="003143F5"/>
    <w:rsid w:val="00314854"/>
    <w:rsid w:val="003653A2"/>
    <w:rsid w:val="00386519"/>
    <w:rsid w:val="00394191"/>
    <w:rsid w:val="003C51CD"/>
    <w:rsid w:val="003C6034"/>
    <w:rsid w:val="00400B5C"/>
    <w:rsid w:val="004368E0"/>
    <w:rsid w:val="0044238F"/>
    <w:rsid w:val="004B44D5"/>
    <w:rsid w:val="004C13DD"/>
    <w:rsid w:val="004D3ABE"/>
    <w:rsid w:val="004E3441"/>
    <w:rsid w:val="00500579"/>
    <w:rsid w:val="00515C48"/>
    <w:rsid w:val="00575944"/>
    <w:rsid w:val="00577159"/>
    <w:rsid w:val="005A5366"/>
    <w:rsid w:val="00634EC4"/>
    <w:rsid w:val="006369EB"/>
    <w:rsid w:val="00637E73"/>
    <w:rsid w:val="006865E9"/>
    <w:rsid w:val="00686E9A"/>
    <w:rsid w:val="00691F3E"/>
    <w:rsid w:val="00694BFB"/>
    <w:rsid w:val="00694E15"/>
    <w:rsid w:val="006A106B"/>
    <w:rsid w:val="006A28CE"/>
    <w:rsid w:val="006C523D"/>
    <w:rsid w:val="006D4036"/>
    <w:rsid w:val="006E0014"/>
    <w:rsid w:val="007438DE"/>
    <w:rsid w:val="00766D63"/>
    <w:rsid w:val="007A5259"/>
    <w:rsid w:val="007A7081"/>
    <w:rsid w:val="007F1CF5"/>
    <w:rsid w:val="007F5F34"/>
    <w:rsid w:val="008020BF"/>
    <w:rsid w:val="0080522D"/>
    <w:rsid w:val="00834EDE"/>
    <w:rsid w:val="00847EE6"/>
    <w:rsid w:val="008736AA"/>
    <w:rsid w:val="008C1F82"/>
    <w:rsid w:val="008D275D"/>
    <w:rsid w:val="008E6644"/>
    <w:rsid w:val="00946186"/>
    <w:rsid w:val="00980327"/>
    <w:rsid w:val="00986478"/>
    <w:rsid w:val="0099043C"/>
    <w:rsid w:val="009B5557"/>
    <w:rsid w:val="009D769A"/>
    <w:rsid w:val="009E0BE9"/>
    <w:rsid w:val="009F1067"/>
    <w:rsid w:val="00A31E01"/>
    <w:rsid w:val="00A527AD"/>
    <w:rsid w:val="00A718CF"/>
    <w:rsid w:val="00AA069B"/>
    <w:rsid w:val="00AA173F"/>
    <w:rsid w:val="00AC7A66"/>
    <w:rsid w:val="00AE48A0"/>
    <w:rsid w:val="00AE61BE"/>
    <w:rsid w:val="00AF6D38"/>
    <w:rsid w:val="00B16F25"/>
    <w:rsid w:val="00B24422"/>
    <w:rsid w:val="00B66B81"/>
    <w:rsid w:val="00B71E6F"/>
    <w:rsid w:val="00B80C20"/>
    <w:rsid w:val="00B844FE"/>
    <w:rsid w:val="00B86B4F"/>
    <w:rsid w:val="00BA1F84"/>
    <w:rsid w:val="00BC562B"/>
    <w:rsid w:val="00C33014"/>
    <w:rsid w:val="00C33434"/>
    <w:rsid w:val="00C34869"/>
    <w:rsid w:val="00C42EB6"/>
    <w:rsid w:val="00C451E3"/>
    <w:rsid w:val="00C51323"/>
    <w:rsid w:val="00C62327"/>
    <w:rsid w:val="00C85096"/>
    <w:rsid w:val="00CB20EF"/>
    <w:rsid w:val="00CB4660"/>
    <w:rsid w:val="00CC1F3B"/>
    <w:rsid w:val="00CD12CB"/>
    <w:rsid w:val="00CD36CF"/>
    <w:rsid w:val="00CD6F57"/>
    <w:rsid w:val="00CF1DCA"/>
    <w:rsid w:val="00D579FC"/>
    <w:rsid w:val="00D81C16"/>
    <w:rsid w:val="00D87CC7"/>
    <w:rsid w:val="00DE526B"/>
    <w:rsid w:val="00DF199D"/>
    <w:rsid w:val="00E00151"/>
    <w:rsid w:val="00E01542"/>
    <w:rsid w:val="00E365F1"/>
    <w:rsid w:val="00E37026"/>
    <w:rsid w:val="00E62F48"/>
    <w:rsid w:val="00E7696B"/>
    <w:rsid w:val="00E831B3"/>
    <w:rsid w:val="00E95FBC"/>
    <w:rsid w:val="00EA162A"/>
    <w:rsid w:val="00EC5E63"/>
    <w:rsid w:val="00ED4718"/>
    <w:rsid w:val="00EE70CB"/>
    <w:rsid w:val="00F41CA2"/>
    <w:rsid w:val="00F443C0"/>
    <w:rsid w:val="00F62EFB"/>
    <w:rsid w:val="00F939A4"/>
    <w:rsid w:val="00FA7B09"/>
    <w:rsid w:val="00FC28E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D873C"/>
  <w15:chartTrackingRefBased/>
  <w15:docId w15:val="{85E8B859-7F88-4880-A8AB-0C7D0A89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C7A66"/>
    <w:rPr>
      <w:rFonts w:eastAsia="Calibri"/>
      <w:color w:val="000000"/>
    </w:rPr>
  </w:style>
  <w:style w:type="character" w:customStyle="1" w:styleId="SectionHeadingChar">
    <w:name w:val="Section Heading Char"/>
    <w:link w:val="SectionHeading"/>
    <w:rsid w:val="00AC7A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19905AF4143E082186701083FF06B"/>
        <w:category>
          <w:name w:val="General"/>
          <w:gallery w:val="placeholder"/>
        </w:category>
        <w:types>
          <w:type w:val="bbPlcHdr"/>
        </w:types>
        <w:behaviors>
          <w:behavior w:val="content"/>
        </w:behaviors>
        <w:guid w:val="{87AB25AE-920A-4CEB-ABAA-0F7CCEB80D82}"/>
      </w:docPartPr>
      <w:docPartBody>
        <w:p w:rsidR="003A7D81" w:rsidRDefault="003A7D81">
          <w:pPr>
            <w:pStyle w:val="4E819905AF4143E082186701083FF06B"/>
          </w:pPr>
          <w:r w:rsidRPr="00B844FE">
            <w:t>Prefix Text</w:t>
          </w:r>
        </w:p>
      </w:docPartBody>
    </w:docPart>
    <w:docPart>
      <w:docPartPr>
        <w:name w:val="17700AA27FE64D3EBC07B8B88F36CB7F"/>
        <w:category>
          <w:name w:val="General"/>
          <w:gallery w:val="placeholder"/>
        </w:category>
        <w:types>
          <w:type w:val="bbPlcHdr"/>
        </w:types>
        <w:behaviors>
          <w:behavior w:val="content"/>
        </w:behaviors>
        <w:guid w:val="{54C9A94A-13BA-4292-8A5D-5E402D895E6B}"/>
      </w:docPartPr>
      <w:docPartBody>
        <w:p w:rsidR="003A7D81" w:rsidRDefault="003A7D81">
          <w:pPr>
            <w:pStyle w:val="17700AA27FE64D3EBC07B8B88F36CB7F"/>
          </w:pPr>
          <w:r w:rsidRPr="00B844FE">
            <w:t>[Type here]</w:t>
          </w:r>
        </w:p>
      </w:docPartBody>
    </w:docPart>
    <w:docPart>
      <w:docPartPr>
        <w:name w:val="62F00C5F641F4DDBBBD24521EFC0155C"/>
        <w:category>
          <w:name w:val="General"/>
          <w:gallery w:val="placeholder"/>
        </w:category>
        <w:types>
          <w:type w:val="bbPlcHdr"/>
        </w:types>
        <w:behaviors>
          <w:behavior w:val="content"/>
        </w:behaviors>
        <w:guid w:val="{8139DFB0-E17C-4E26-9BF6-8C5680A55143}"/>
      </w:docPartPr>
      <w:docPartBody>
        <w:p w:rsidR="003A7D81" w:rsidRDefault="003A7D81">
          <w:pPr>
            <w:pStyle w:val="62F00C5F641F4DDBBBD24521EFC0155C"/>
          </w:pPr>
          <w:r w:rsidRPr="00B844FE">
            <w:t>Number</w:t>
          </w:r>
        </w:p>
      </w:docPartBody>
    </w:docPart>
    <w:docPart>
      <w:docPartPr>
        <w:name w:val="0B74BFD427074BA48FD082BF429681C8"/>
        <w:category>
          <w:name w:val="General"/>
          <w:gallery w:val="placeholder"/>
        </w:category>
        <w:types>
          <w:type w:val="bbPlcHdr"/>
        </w:types>
        <w:behaviors>
          <w:behavior w:val="content"/>
        </w:behaviors>
        <w:guid w:val="{A8065CB1-6685-4B83-A1DA-3E1ADAF47CCF}"/>
      </w:docPartPr>
      <w:docPartBody>
        <w:p w:rsidR="003A7D81" w:rsidRDefault="003A7D81">
          <w:pPr>
            <w:pStyle w:val="0B74BFD427074BA48FD082BF429681C8"/>
          </w:pPr>
          <w:r w:rsidRPr="00B844FE">
            <w:t>Enter Sponsors Here</w:t>
          </w:r>
        </w:p>
      </w:docPartBody>
    </w:docPart>
    <w:docPart>
      <w:docPartPr>
        <w:name w:val="63EA61BE4F7B41BDA2A373C8E4E6D9A9"/>
        <w:category>
          <w:name w:val="General"/>
          <w:gallery w:val="placeholder"/>
        </w:category>
        <w:types>
          <w:type w:val="bbPlcHdr"/>
        </w:types>
        <w:behaviors>
          <w:behavior w:val="content"/>
        </w:behaviors>
        <w:guid w:val="{5EAF68AD-0A99-4EA2-9D57-1E105F0F399B}"/>
      </w:docPartPr>
      <w:docPartBody>
        <w:p w:rsidR="003A7D81" w:rsidRDefault="003A7D81">
          <w:pPr>
            <w:pStyle w:val="63EA61BE4F7B41BDA2A373C8E4E6D9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81"/>
    <w:rsid w:val="00256481"/>
    <w:rsid w:val="00263607"/>
    <w:rsid w:val="003A7D81"/>
    <w:rsid w:val="00515C48"/>
    <w:rsid w:val="00577159"/>
    <w:rsid w:val="006A28CE"/>
    <w:rsid w:val="00766D63"/>
    <w:rsid w:val="007F5F34"/>
    <w:rsid w:val="008020BF"/>
    <w:rsid w:val="0080522D"/>
    <w:rsid w:val="008C1F82"/>
    <w:rsid w:val="0099043C"/>
    <w:rsid w:val="00CB4660"/>
    <w:rsid w:val="00E00151"/>
    <w:rsid w:val="00E37026"/>
    <w:rsid w:val="00E7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19905AF4143E082186701083FF06B">
    <w:name w:val="4E819905AF4143E082186701083FF06B"/>
  </w:style>
  <w:style w:type="paragraph" w:customStyle="1" w:styleId="17700AA27FE64D3EBC07B8B88F36CB7F">
    <w:name w:val="17700AA27FE64D3EBC07B8B88F36CB7F"/>
  </w:style>
  <w:style w:type="paragraph" w:customStyle="1" w:styleId="62F00C5F641F4DDBBBD24521EFC0155C">
    <w:name w:val="62F00C5F641F4DDBBBD24521EFC0155C"/>
  </w:style>
  <w:style w:type="paragraph" w:customStyle="1" w:styleId="0B74BFD427074BA48FD082BF429681C8">
    <w:name w:val="0B74BFD427074BA48FD082BF429681C8"/>
  </w:style>
  <w:style w:type="character" w:styleId="PlaceholderText">
    <w:name w:val="Placeholder Text"/>
    <w:basedOn w:val="DefaultParagraphFont"/>
    <w:uiPriority w:val="99"/>
    <w:semiHidden/>
    <w:rPr>
      <w:color w:val="808080"/>
    </w:rPr>
  </w:style>
  <w:style w:type="paragraph" w:customStyle="1" w:styleId="63EA61BE4F7B41BDA2A373C8E4E6D9A9">
    <w:name w:val="63EA61BE4F7B41BDA2A373C8E4E6D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44</TotalTime>
  <Pages>4</Pages>
  <Words>835</Words>
  <Characters>4669</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10</cp:revision>
  <dcterms:created xsi:type="dcterms:W3CDTF">2025-12-22T20:00:00Z</dcterms:created>
  <dcterms:modified xsi:type="dcterms:W3CDTF">2026-01-14T20:02:00Z</dcterms:modified>
</cp:coreProperties>
</file>